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03" w:rsidRDefault="009E2803"/>
    <w:p w:rsidR="00635A7A" w:rsidRDefault="00635A7A"/>
    <w:p w:rsidR="001070EF" w:rsidRDefault="00D71479" w:rsidP="00AD02EB">
      <w:r w:rsidRPr="00D71479">
        <w:t xml:space="preserve">Credits for all rotations are determined </w:t>
      </w:r>
      <w:proofErr w:type="gramStart"/>
      <w:r w:rsidRPr="00D71479">
        <w:t>on the basis of</w:t>
      </w:r>
      <w:proofErr w:type="gramEnd"/>
      <w:r w:rsidRPr="00D71479">
        <w:t xml:space="preserve"> one credit hour for each week of the rotation.</w:t>
      </w:r>
    </w:p>
    <w:p w:rsidR="00D71479" w:rsidRDefault="00D71479" w:rsidP="00AD02EB"/>
    <w:p w:rsidR="00D71479" w:rsidRDefault="00D71479" w:rsidP="00AD02EB">
      <w:pPr>
        <w:pStyle w:val="ListParagraph"/>
        <w:numPr>
          <w:ilvl w:val="0"/>
          <w:numId w:val="1"/>
        </w:numPr>
        <w:contextualSpacing w:val="0"/>
      </w:pPr>
      <w:r>
        <w:t>53 credits in Pillar 3</w:t>
      </w:r>
      <w:bookmarkStart w:id="0" w:name="_GoBack"/>
      <w:bookmarkEnd w:id="0"/>
    </w:p>
    <w:p w:rsidR="00D71479" w:rsidRDefault="00D71479" w:rsidP="00AD02EB">
      <w:pPr>
        <w:pStyle w:val="ListParagraph"/>
        <w:numPr>
          <w:ilvl w:val="1"/>
          <w:numId w:val="1"/>
        </w:numPr>
        <w:contextualSpacing w:val="0"/>
      </w:pPr>
      <w:r>
        <w:t>15 credit</w:t>
      </w:r>
      <w:r w:rsidR="0028718E">
        <w:t>s</w:t>
      </w:r>
      <w:r>
        <w:t xml:space="preserve"> of required rotations</w:t>
      </w:r>
    </w:p>
    <w:p w:rsidR="00D71479" w:rsidRDefault="0028718E" w:rsidP="00AD02EB">
      <w:pPr>
        <w:pStyle w:val="ListParagraph"/>
        <w:numPr>
          <w:ilvl w:val="2"/>
          <w:numId w:val="1"/>
        </w:numPr>
        <w:contextualSpacing w:val="0"/>
      </w:pPr>
      <w:r>
        <w:t>4 weeks of Surgical Specialties (SURG 764)</w:t>
      </w:r>
    </w:p>
    <w:p w:rsidR="0028718E" w:rsidRDefault="0028718E" w:rsidP="00AD02EB">
      <w:pPr>
        <w:pStyle w:val="ListParagraph"/>
        <w:numPr>
          <w:ilvl w:val="2"/>
          <w:numId w:val="1"/>
        </w:numPr>
        <w:contextualSpacing w:val="0"/>
      </w:pPr>
      <w:r>
        <w:t>3 weeks of Emergency Medicine (FAMP 823)</w:t>
      </w:r>
    </w:p>
    <w:p w:rsidR="0028718E" w:rsidRDefault="0028718E" w:rsidP="00AD02EB">
      <w:pPr>
        <w:pStyle w:val="ListParagraph"/>
        <w:numPr>
          <w:ilvl w:val="2"/>
          <w:numId w:val="1"/>
        </w:numPr>
        <w:contextualSpacing w:val="0"/>
      </w:pPr>
      <w:r>
        <w:t>4 weeks of Rural Family Medicine Clerkship (FAMP 810)</w:t>
      </w:r>
    </w:p>
    <w:p w:rsidR="0028718E" w:rsidRDefault="0028718E" w:rsidP="00AD02EB">
      <w:pPr>
        <w:pStyle w:val="ListParagraph"/>
        <w:numPr>
          <w:ilvl w:val="2"/>
          <w:numId w:val="1"/>
        </w:numPr>
        <w:contextualSpacing w:val="0"/>
      </w:pPr>
      <w:r>
        <w:t>4 weeks of Sub-Internship in one of the following specialties: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Internal Medicine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Pediatrics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Family Medicine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Psychiatry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OB</w:t>
      </w:r>
    </w:p>
    <w:p w:rsidR="0028718E" w:rsidRDefault="0028718E" w:rsidP="00AD02EB">
      <w:pPr>
        <w:pStyle w:val="ListParagraph"/>
        <w:numPr>
          <w:ilvl w:val="3"/>
          <w:numId w:val="1"/>
        </w:numPr>
        <w:contextualSpacing w:val="0"/>
      </w:pPr>
      <w:r>
        <w:t>Surgery</w:t>
      </w:r>
    </w:p>
    <w:p w:rsidR="0028718E" w:rsidRDefault="0028718E" w:rsidP="00AD02EB">
      <w:pPr>
        <w:pStyle w:val="ListParagraph"/>
        <w:numPr>
          <w:ilvl w:val="1"/>
          <w:numId w:val="1"/>
        </w:numPr>
        <w:contextualSpacing w:val="0"/>
      </w:pPr>
      <w:r>
        <w:t>38 credits of elective rotations</w:t>
      </w:r>
    </w:p>
    <w:p w:rsidR="0028718E" w:rsidRDefault="0028718E" w:rsidP="00AD02EB">
      <w:pPr>
        <w:pStyle w:val="ListParagraph"/>
        <w:numPr>
          <w:ilvl w:val="1"/>
          <w:numId w:val="1"/>
        </w:numPr>
        <w:contextualSpacing w:val="0"/>
      </w:pPr>
      <w:r>
        <w:t>11 weeks of flexible/vacation</w:t>
      </w:r>
      <w:r w:rsidR="00AD02EB">
        <w:t xml:space="preserve"> time</w:t>
      </w:r>
    </w:p>
    <w:p w:rsidR="00D71479" w:rsidRDefault="00D71479"/>
    <w:p w:rsidR="00D71479" w:rsidRDefault="00D71479"/>
    <w:sectPr w:rsidR="00D71479" w:rsidSect="00AD02EB">
      <w:headerReference w:type="default" r:id="rId8"/>
      <w:pgSz w:w="12240" w:h="15840"/>
      <w:pgMar w:top="1440" w:right="1440" w:bottom="1440" w:left="144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2F" w:rsidRDefault="00F7452F" w:rsidP="00F7452F">
      <w:pPr>
        <w:spacing w:after="0" w:line="240" w:lineRule="auto"/>
      </w:pPr>
      <w:r>
        <w:separator/>
      </w:r>
    </w:p>
  </w:endnote>
  <w:endnote w:type="continuationSeparator" w:id="0">
    <w:p w:rsidR="00F7452F" w:rsidRDefault="00F7452F" w:rsidP="00F7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2F" w:rsidRDefault="00F7452F" w:rsidP="00F7452F">
      <w:pPr>
        <w:spacing w:after="0" w:line="240" w:lineRule="auto"/>
      </w:pPr>
      <w:r>
        <w:separator/>
      </w:r>
    </w:p>
  </w:footnote>
  <w:footnote w:type="continuationSeparator" w:id="0">
    <w:p w:rsidR="00F7452F" w:rsidRDefault="00F7452F" w:rsidP="00F7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2F" w:rsidRPr="004F1800" w:rsidRDefault="004F1800" w:rsidP="001070EF">
    <w:pPr>
      <w:pStyle w:val="Header"/>
      <w:tabs>
        <w:tab w:val="clear" w:pos="4680"/>
        <w:tab w:val="clear" w:pos="9360"/>
        <w:tab w:val="right" w:pos="0"/>
      </w:tabs>
      <w:spacing w:after="120"/>
      <w:ind w:firstLine="450"/>
      <w:rPr>
        <w:rFonts w:ascii="Calibri" w:hAnsi="Calibri" w:cs="Calibri"/>
        <w:sz w:val="72"/>
        <w:szCs w:val="72"/>
      </w:rPr>
    </w:pPr>
    <w:r w:rsidRPr="004F1800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-47625</wp:posOffset>
          </wp:positionV>
          <wp:extent cx="1064260" cy="676275"/>
          <wp:effectExtent l="0" t="0" r="2540" b="9525"/>
          <wp:wrapThrough wrapText="bothSides">
            <wp:wrapPolygon edited="0">
              <wp:start x="7346" y="0"/>
              <wp:lineTo x="6959" y="1217"/>
              <wp:lineTo x="6573" y="7910"/>
              <wp:lineTo x="0" y="17645"/>
              <wp:lineTo x="0" y="21296"/>
              <wp:lineTo x="21265" y="21296"/>
              <wp:lineTo x="21265" y="18254"/>
              <wp:lineTo x="18945" y="14603"/>
              <wp:lineTo x="14692" y="9735"/>
              <wp:lineTo x="14305" y="3651"/>
              <wp:lineTo x="11986" y="0"/>
              <wp:lineTo x="7346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he-University-of-South-Dakota-Primary-Colo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479">
      <w:rPr>
        <w:rFonts w:ascii="Calibri" w:hAnsi="Calibri" w:cs="Calibri"/>
        <w:sz w:val="72"/>
        <w:szCs w:val="72"/>
      </w:rPr>
      <w:t>Pillar 3</w:t>
    </w:r>
    <w:r w:rsidR="00F7452F" w:rsidRPr="004F1800">
      <w:rPr>
        <w:rFonts w:ascii="Calibri" w:hAnsi="Calibri" w:cs="Calibri"/>
        <w:sz w:val="72"/>
        <w:szCs w:val="72"/>
      </w:rPr>
      <w:t xml:space="preserve">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B4C"/>
    <w:multiLevelType w:val="hybridMultilevel"/>
    <w:tmpl w:val="9AC6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F"/>
    <w:rsid w:val="001070EF"/>
    <w:rsid w:val="001377E9"/>
    <w:rsid w:val="001977AF"/>
    <w:rsid w:val="0028718E"/>
    <w:rsid w:val="003B116E"/>
    <w:rsid w:val="004F1800"/>
    <w:rsid w:val="005F2ABD"/>
    <w:rsid w:val="00635A7A"/>
    <w:rsid w:val="00644AD1"/>
    <w:rsid w:val="0068094C"/>
    <w:rsid w:val="006E27CF"/>
    <w:rsid w:val="008E6052"/>
    <w:rsid w:val="00921847"/>
    <w:rsid w:val="00995BFA"/>
    <w:rsid w:val="009C2CC5"/>
    <w:rsid w:val="009E2803"/>
    <w:rsid w:val="00AA11CF"/>
    <w:rsid w:val="00AD02EB"/>
    <w:rsid w:val="00BA63A8"/>
    <w:rsid w:val="00D71479"/>
    <w:rsid w:val="00ED77E3"/>
    <w:rsid w:val="00F7452F"/>
    <w:rsid w:val="00FA6845"/>
    <w:rsid w:val="00FD6D06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CA73A"/>
  <w15:chartTrackingRefBased/>
  <w15:docId w15:val="{AD627F40-D0BB-4B7D-A631-AC02BA1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2F"/>
  </w:style>
  <w:style w:type="paragraph" w:styleId="Footer">
    <w:name w:val="footer"/>
    <w:basedOn w:val="Normal"/>
    <w:link w:val="FooterChar"/>
    <w:uiPriority w:val="99"/>
    <w:unhideWhenUsed/>
    <w:rsid w:val="00F7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2F"/>
  </w:style>
  <w:style w:type="table" w:styleId="TableGrid">
    <w:name w:val="Table Grid"/>
    <w:basedOn w:val="TableNormal"/>
    <w:uiPriority w:val="39"/>
    <w:rsid w:val="003B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8055-023D-4945-8810-EA57BE3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Katie</dc:creator>
  <cp:keywords/>
  <dc:description/>
  <cp:lastModifiedBy>Schroeder, Katie</cp:lastModifiedBy>
  <cp:revision>2</cp:revision>
  <cp:lastPrinted>2018-09-26T19:43:00Z</cp:lastPrinted>
  <dcterms:created xsi:type="dcterms:W3CDTF">2018-09-26T19:44:00Z</dcterms:created>
  <dcterms:modified xsi:type="dcterms:W3CDTF">2018-09-26T19:44:00Z</dcterms:modified>
</cp:coreProperties>
</file>